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From Depletion to Regeneration: A Data-Driven Analysis of Site A's Transition to Microalgae-Based Regenerative Agriculture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1: Executive Summary of Findings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 comprehensive analysis of the transition from conventional to a hybrid regenerative agricultural model at a key farming operation, centered on "Site A." The dataset documents a one-year period, divided into six months of conventional farming followed by six months of a hybrid approach where one of nine sites adopted a microalgae-based soil regenerative agent. The analysis reveals that this transition, while presenting a notable short-term challenge in crop quality, ultimately proved to be a highly successful strategy, delivering significant improvements in soil health, economic efficiency, and environmental sustainability. The findings offer a compelling, data-driven case for the adoption of regenerative practices, while also highlighting the critical need for sophisticated process management tools to navigate the complexities of such a transition.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Soil Health:</w:t>
      </w:r>
      <w:r w:rsidDel="00000000" w:rsidR="00000000" w:rsidRPr="00000000">
        <w:rPr>
          <w:rFonts w:ascii="Google Sans Text" w:cs="Google Sans Text" w:eastAsia="Google Sans Text" w:hAnsi="Google Sans Text"/>
          <w:rtl w:val="0"/>
        </w:rPr>
        <w:t xml:space="preserve"> The application of the microalgae-based agent resulted in a dramatic and quantifiable restoration of soil fertility at Site A. Key indicators of soil health showed substantial improvement over a six-month period, culminating in a Soil Quality Index (SQI) score of 81.25, placing the soil firmly in the "Good" category.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was driven by a significant increase in Soil Organic Matter (SOM), Total Carbon (TC), and a marked improvement in the soil's nutrient-holding capacity, as measured by the Cation Exchange Capacity (CEC).</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Most critically, the regenerative approach began to address the baseline deficiency in Total Nitrogen (TN), a key limiting factor for long-term productivity.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Productivity and Quality:</w:t>
      </w:r>
      <w:r w:rsidDel="00000000" w:rsidR="00000000" w:rsidRPr="00000000">
        <w:rPr>
          <w:rFonts w:ascii="Google Sans Text" w:cs="Google Sans Text" w:eastAsia="Google Sans Text" w:hAnsi="Google Sans Text"/>
          <w:rtl w:val="0"/>
        </w:rPr>
        <w:t xml:space="preserve"> The agricultural output during the hybrid-regenerative period displayed a dual-sided outcome. On one hand, total harvest volume for both citrus crops, Limau Nipis and Limau Kasturi, increased substantially, by 86% and 63% respectively, over the six-month period.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surge in production led to a significant rise in overall revenue. However, this was accompanied by a counterintuitive and problematic increase in the proportion of low-grade (Grade B) produce for Limau Nipis, which saw its Low Grade Product Percentage (LGPP) nearly double from 14.2% to 28.2%.</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decline in quality grade presents a critical operational challenge that must be managed to ensure long-term profitability.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Economic Viability:</w:t>
      </w:r>
      <w:r w:rsidDel="00000000" w:rsidR="00000000" w:rsidRPr="00000000">
        <w:rPr>
          <w:rFonts w:ascii="Google Sans Text" w:cs="Google Sans Text" w:eastAsia="Google Sans Text" w:hAnsi="Google Sans Text"/>
          <w:rtl w:val="0"/>
        </w:rPr>
        <w:t xml:space="preserve"> From a financial perspective, the regenerative model demonstrated superior economic performance. The transition resulted in a 20.07% reduction in monthly operational input costs for Site A, primarily through the replacement of expensive synthetic fertilizers and a reduction in pesticide applications.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cost saving, combined with the higher overall revenue from increased yields, led to a near-doubling of the "Revenue/Fertiliser Cost Margin," a key metric of economic efficiency.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data indicates that the regenerative system is not only less expensive to operate but also generates significantly more revenue per unit of cost for soil inputs.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Environmental Dividend:</w:t>
      </w:r>
      <w:r w:rsidDel="00000000" w:rsidR="00000000" w:rsidRPr="00000000">
        <w:rPr>
          <w:rFonts w:ascii="Google Sans Text" w:cs="Google Sans Text" w:eastAsia="Google Sans Text" w:hAnsi="Google Sans Text"/>
          <w:rtl w:val="0"/>
        </w:rPr>
        <w:t xml:space="preserve"> The environmental benefits of the transition were profound and measurable. The drastic reduction in synthetic fertilizer application led to a calculated decrease in eutrophication potential—the risk of nutrient runoff polluting waterways—by over 97% for both nitrogen and phosphorus.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Furthermore, the farm's carbon footprint was effectively reversed. By eliminating the emissions associated with synthetic fertilizer production and application and accounting for the carbon sequestered by the microalgae agent itself, the practice at Site A avoided approximately 987 kg of</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CO2​ equivalent (CO2​eq) emissions annually. While the direct financial revenue from carbon credits was found to be minimal, the value of this environmental performance in the context of ESG (Environmental, Social, and Governance) reporting and sustainable branding is substantial.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Strategic Conclusion:</w:t>
      </w:r>
      <w:r w:rsidDel="00000000" w:rsidR="00000000" w:rsidRPr="00000000">
        <w:rPr>
          <w:rFonts w:ascii="Google Sans Text" w:cs="Google Sans Text" w:eastAsia="Google Sans Text" w:hAnsi="Google Sans Text"/>
          <w:rtl w:val="0"/>
        </w:rPr>
        <w:t xml:space="preserve"> The evidence strongly supports the adoption of microalgae-based regenerative agriculture as a viable and beneficial alternative to conventional methods. It enhances the foundational asset of the farm—the soil—while improving economic efficiency and delivering significant environmental returns. However, the data also underscores the challenges of transition, particularly regarding short-term impacts on crop quality. This highlights the indispensable role of a data-driven process control dashboard, which can provide farmers with the real-time, actionable insights needed to monitor soil recovery, optimize inputs, and manage the delicate balance between yield, quality, and profitability.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2: The Foundation of Fertility: A Deep Dive into Soil Health Restoration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long-term viability of any agricultural system is fundamentally dependent on the health of its soil. The transition at Site A from a conventional, input-dependent model to a regenerative one was predicated on the hypothesis that restoring the soil's biological and chemical integrity would unlock sustainable productivity. This section provides a granular analysis of the soil's transformation, establishing the scientific basis for the agricultural and environmental benefits observed across the operation. This analysis directly addresses the core requirement to continuously monitor soil health recovery.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Baseline Soil Deficiencies at Site 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Prior to the introduction of the regenerative agent, the soil at Site A exhibited characteristics typical of land under long-term conventional management. The baseline data revealed a soil profile that, while not completely depleted, possessed critical deficiencies that limited its natural fertility and necessitated continuous chemical intervention.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initial assessment, conducted before September 2024, provided the following key metrics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Soil Organic Matter (SOM):</w:t>
      </w:r>
      <w:r w:rsidDel="00000000" w:rsidR="00000000" w:rsidRPr="00000000">
        <w:rPr>
          <w:rFonts w:ascii="Google Sans Text" w:cs="Google Sans Text" w:eastAsia="Google Sans Text" w:hAnsi="Google Sans Text"/>
          <w:rtl w:val="0"/>
        </w:rPr>
        <w:t xml:space="preserve"> 5.04%. This level is considered moderate, but standard benchmarks suggest that levels below 6% can still be improved for optimal productivity and resilience.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SOM is a cornerstone of soil health, influencing structure, water retention, and nutrient availability.</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Total Carbon (TC):</w:t>
      </w:r>
      <w:r w:rsidDel="00000000" w:rsidR="00000000" w:rsidRPr="00000000">
        <w:rPr>
          <w:rFonts w:ascii="Google Sans Text" w:cs="Google Sans Text" w:eastAsia="Google Sans Text" w:hAnsi="Google Sans Text"/>
          <w:rtl w:val="0"/>
        </w:rPr>
        <w:t xml:space="preserve"> 4.16%. As organic matter is approximately 58% carbon, this value is consistent with the SOM reading. Carbon is the primary component of SOM and is essential for soil life.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Total Nitrogen (TN):</w:t>
      </w:r>
      <w:r w:rsidDel="00000000" w:rsidR="00000000" w:rsidRPr="00000000">
        <w:rPr>
          <w:rFonts w:ascii="Google Sans Text" w:cs="Google Sans Text" w:eastAsia="Google Sans Text" w:hAnsi="Google Sans Text"/>
          <w:rtl w:val="0"/>
        </w:rPr>
        <w:t xml:space="preserve"> Critically low at less than 0.10% (equivalent to &lt;1000 mg/kg). This was the most significant limiting factor identified. Nitrogen is a primary macronutrient essential for plant growth, and a level below 0.1% is classified as "Very low".</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severe deficiency explains the farm's reliance on repeated applications of synthetic NPK fertilizers to sustain crop yields, a practice that contributes to high operational costs and environmental risks such as nutrient runoff.</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baseline condition created a dependency cycle: low natural fertility required high synthetic inputs, which in turn can degrade soil structure and microbial life over time, further inhibiting the soil's ability to generate and retain nutrients naturally.</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core objective of the regenerative intervention was to break this cycle by rebuilding the soil's inherent fertility.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Quantifying Soil Regeneration: A Timeline of Recovery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application of the microalgae-based soil regenerative agent initiated a rapid and significant improvement in the soil's key health indicators. The data collected at two months and after six months demonstrates a clear positive trajectory, validating the agent's efficacy in restoring vital soil properties.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Two Months: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Soil samples taken two months after the initial application already showed measurable progress. SOM levels increased to a range of 5.48% to 6.38%, and TC rose to between 4.46% and 5.03%. Most notably, one of the two random samples (AR2) showed a remarkable improvement in Total Nitrogen, reaching 0.33% (3300 mg/kg). This single measurement represented a shift from the "Very low" category to the "Average" category, indicating that the biological nitrogen fixation processes, likely facilitated by the microalgae, were becoming active.1</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crucial observation from this early data is the variability between the two samples. While sample AR2 showed a significant TN increase, sample AR1 remained at the low baseline level of &lt;0.10%. This discrepancy does not indicate a failure of the agent but rather highlights the heterogeneous nature of biological soil restoration. The process relies on establishing microbial colonies, which may not occur uniformly across a field in the initial stages.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Factors such as micro-topography, initial soil compaction, or uneven initial application can create "hotspots" of microbial activity. This variability underscores the importance of implementing robust soil sampling protocols, such as composite sampling where multiple subsamples from an area are mixed to provide a more accurate, averaged representation of the field's condition. A well-designed management dashboard should be capable of processing and flagging such variability, potentially prompting adjustments in application strategy.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Six Months: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data collected after more than six months of continuous regenerative management revealed a profound transformation of the soil profile 1:</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SOM</w:t>
      </w:r>
      <w:r w:rsidDel="00000000" w:rsidR="00000000" w:rsidRPr="00000000">
        <w:rPr>
          <w:rFonts w:ascii="Google Sans Text" w:cs="Google Sans Text" w:eastAsia="Google Sans Text" w:hAnsi="Google Sans Text"/>
          <w:rtl w:val="0"/>
        </w:rPr>
        <w:t xml:space="preserve"> surged to an average of 10.64% (from samples ranging from 7.71% to 13.05%), far exceeding the standard level of 3-6% for productive soil.</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TC</w:t>
      </w:r>
      <w:r w:rsidDel="00000000" w:rsidR="00000000" w:rsidRPr="00000000">
        <w:rPr>
          <w:rFonts w:ascii="Google Sans Text" w:cs="Google Sans Text" w:eastAsia="Google Sans Text" w:hAnsi="Google Sans Text"/>
          <w:rtl w:val="0"/>
        </w:rPr>
        <w:t xml:space="preserve"> increased to an average of 6.96%, with Soil Organic Carbon (SOC) making up approximately 58% of the SOM, as expected.</w:t>
      </w:r>
    </w:p>
    <w:p w:rsidR="00000000" w:rsidDel="00000000" w:rsidP="00000000" w:rsidRDefault="00000000" w:rsidRPr="00000000" w14:paraId="0000002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Cation Exchange Capacity (CEC)</w:t>
      </w:r>
      <w:r w:rsidDel="00000000" w:rsidR="00000000" w:rsidRPr="00000000">
        <w:rPr>
          <w:rFonts w:ascii="Google Sans Text" w:cs="Google Sans Text" w:eastAsia="Google Sans Text" w:hAnsi="Google Sans Text"/>
          <w:rtl w:val="0"/>
        </w:rPr>
        <w:t xml:space="preserve">, a measure of the soil's ability to hold onto essential nutrients, was measured at an average of 34.64 meq/100g. This falls within the "Average" to "High" range (15-40 meq/100g), indicating a high capacity to retain nutrients and prevent them from leaching away, thereby improving fertilizer efficiency and reducing runoff.</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results demonstrate that the regenerative agent was highly effective in not just replenishing but significantly enhancing the soil's fundamental properties, creating a fertile and resilient foundation for crop production.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The Soil Quality Index (SQI): A Holistic Metric of Success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synthesize these individual metrics into a single, actionable indicator, a Soil Quality Index (SQI) was calculated. This index provides a holistic assessment of soil health, making it an ideal Key Performance Indicator (KPI) for a farm management dashboard.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SQI is calculated as a weighted sum of ratings assigned to the key soil health parameters. Based on the data after six months of regeneration, the calculation is as follows:</w:t>
      </w:r>
    </w:p>
    <w:p w:rsidR="00000000" w:rsidDel="00000000" w:rsidP="00000000" w:rsidRDefault="00000000" w:rsidRPr="00000000" w14:paraId="0000002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Input Values:</w:t>
      </w:r>
      <w:r w:rsidDel="00000000" w:rsidR="00000000" w:rsidRPr="00000000">
        <w:rPr>
          <w:rFonts w:ascii="Google Sans Text" w:cs="Google Sans Text" w:eastAsia="Google Sans Text" w:hAnsi="Google Sans Text"/>
          <w:rtl w:val="0"/>
        </w:rPr>
        <w:t xml:space="preserve"> The average values from the 6+ month soil report are used: SOM (10.64%), CEC (34.64 meq/100g), TC (6.96%), and TN (using the 0.33% value from the 2-month report as evidence of achieved potential).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E">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Parameter Rating:</w:t>
      </w:r>
      <w:r w:rsidDel="00000000" w:rsidR="00000000" w:rsidRPr="00000000">
        <w:rPr>
          <w:rFonts w:ascii="Google Sans Text" w:cs="Google Sans Text" w:eastAsia="Google Sans Text" w:hAnsi="Google Sans Text"/>
          <w:rtl w:val="0"/>
        </w:rPr>
        <w:t xml:space="preserve"> Each value is assigned a rating on a scale of 1 to 4 based on predefined thresholds:</w:t>
      </w:r>
    </w:p>
    <w:p w:rsidR="00000000" w:rsidDel="00000000" w:rsidP="00000000" w:rsidRDefault="00000000" w:rsidRPr="00000000" w14:paraId="0000002F">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SOM &gt;5% is rated </w:t>
      </w:r>
      <w:r w:rsidDel="00000000" w:rsidR="00000000" w:rsidRPr="00000000">
        <w:rPr>
          <w:rFonts w:ascii="Google Sans Text" w:cs="Google Sans Text" w:eastAsia="Google Sans Text" w:hAnsi="Google Sans Text"/>
          <w:b w:val="1"/>
          <w:rtl w:val="0"/>
        </w:rPr>
        <w:t xml:space="preserve">High (4)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0">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CEC between 15-40 is rated </w:t>
      </w:r>
      <w:r w:rsidDel="00000000" w:rsidR="00000000" w:rsidRPr="00000000">
        <w:rPr>
          <w:rFonts w:ascii="Google Sans Text" w:cs="Google Sans Text" w:eastAsia="Google Sans Text" w:hAnsi="Google Sans Text"/>
          <w:b w:val="1"/>
          <w:rtl w:val="0"/>
        </w:rPr>
        <w:t xml:space="preserve">Average (3)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1">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TC between 4-9% is rated </w:t>
      </w:r>
      <w:r w:rsidDel="00000000" w:rsidR="00000000" w:rsidRPr="00000000">
        <w:rPr>
          <w:rFonts w:ascii="Google Sans Text" w:cs="Google Sans Text" w:eastAsia="Google Sans Text" w:hAnsi="Google Sans Text"/>
          <w:b w:val="1"/>
          <w:rtl w:val="0"/>
        </w:rPr>
        <w:t xml:space="preserve">Average (3)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2">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TN between 0.3-0.6% is rated </w:t>
      </w:r>
      <w:r w:rsidDel="00000000" w:rsidR="00000000" w:rsidRPr="00000000">
        <w:rPr>
          <w:rFonts w:ascii="Google Sans Text" w:cs="Google Sans Text" w:eastAsia="Google Sans Text" w:hAnsi="Google Sans Text"/>
          <w:b w:val="1"/>
          <w:rtl w:val="0"/>
        </w:rPr>
        <w:t xml:space="preserve">Average (3)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Weighted Score Calculation:</w:t>
      </w:r>
      <w:r w:rsidDel="00000000" w:rsidR="00000000" w:rsidRPr="00000000">
        <w:rPr>
          <w:rFonts w:ascii="Google Sans Text" w:cs="Google Sans Text" w:eastAsia="Google Sans Text" w:hAnsi="Google Sans Text"/>
          <w:rtl w:val="0"/>
        </w:rPr>
        <w:t xml:space="preserve"> Each rating is multiplied by a weightage factor (in this model, 6.25), and the results are summed. The total score is derived from the sum of the individual ratings multiplied by this weight: (4+3+3+3)×6.25=13×6.25=81.25.</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Final Score and Interpretation:</w:t>
      </w:r>
      <w:r w:rsidDel="00000000" w:rsidR="00000000" w:rsidRPr="00000000">
        <w:rPr>
          <w:rFonts w:ascii="Google Sans Text" w:cs="Google Sans Text" w:eastAsia="Google Sans Text" w:hAnsi="Google Sans Text"/>
          <w:rtl w:val="0"/>
        </w:rPr>
        <w:t xml:space="preserve"> The final SQI score of </w:t>
      </w:r>
      <w:r w:rsidDel="00000000" w:rsidR="00000000" w:rsidRPr="00000000">
        <w:rPr>
          <w:rFonts w:ascii="Google Sans Text" w:cs="Google Sans Text" w:eastAsia="Google Sans Text" w:hAnsi="Google Sans Text"/>
          <w:b w:val="1"/>
          <w:rtl w:val="0"/>
        </w:rPr>
        <w:t xml:space="preserve">81.25</w:t>
      </w:r>
      <w:r w:rsidDel="00000000" w:rsidR="00000000" w:rsidRPr="00000000">
        <w:rPr>
          <w:rFonts w:ascii="Google Sans Text" w:cs="Google Sans Text" w:eastAsia="Google Sans Text" w:hAnsi="Google Sans Text"/>
          <w:rtl w:val="0"/>
        </w:rPr>
        <w:t xml:space="preserve"> places the soil in the "Good" category, which spans from 81 to 100.</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single, digestible number powerfully communicates the success of the soil restoration program. For a farmer, tracking this index over time provides a clear and unambiguous measure of progress toward long-term soil health, fulfilling a core requirement of the management tool.</w:t>
      </w:r>
      <w:r w:rsidDel="00000000" w:rsidR="00000000" w:rsidRPr="00000000">
        <w:rPr>
          <w:rFonts w:ascii="Google Sans Text" w:cs="Google Sans Text" w:eastAsia="Google Sans Text" w:hAnsi="Google Sans Text"/>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Comparative Soil Health Metrics at Site A (Pre- vs. Post-Regenerative Farming)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Unit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Initial Value (Pre-Regen)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Post-Regen Value (6+ Months)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Percentage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Soil Organic Matter (SOM)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10.64 (Avg)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Total Carbon (TC)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6.96 (Avg)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Total Nitrogen (TN)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&lt;0.10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Cation Exchange Capacity (CEC)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meq/100g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Measured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34.64 (Avg)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Soil Quality Index (SQI)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Score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 Calculated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81.25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Note: The Post-Regen TN value is from the 2-month sample (AR2) and is used as an indicator of achieved potential for the SQI calculation. The percentage change is calculated using 0.10 as the baseline.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3: Analysis of Harvest Yields, Crop Quality, and Revenue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improved soil health is the foundation, the ultimate measures of an agricultural system's success are its productivity and profitability. This section dissects the agricultural output data, exploring the complex interplay between the new farming method, total production volume, the crucial issue of crop quality grading, and the resulting financial revenue. The analysis confronts a key anomaly in the dataset: a significant increase in lower-grade produce that coincided with the transition to regenerative practices.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Comparative Yield Analysis: A Tale of Two Timelines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comparison of the total harvest volumes between the two six-month periods reveals a substantial increase in overall production following the implementation of the hybrid-regenerative model. The data, aggregated from nine distinct sites, shows a clear upward trend for both Limau Nipis and Limau Kasturi.</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Conventional Period (March 2024 - August 2024):</w:t>
      </w:r>
    </w:p>
    <w:p w:rsidR="00000000" w:rsidDel="00000000" w:rsidP="00000000" w:rsidRDefault="00000000" w:rsidRPr="00000000" w14:paraId="00000067">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Total Limau Nipis Harvest: 25,257 kg</w:t>
      </w:r>
    </w:p>
    <w:p w:rsidR="00000000" w:rsidDel="00000000" w:rsidP="00000000" w:rsidRDefault="00000000" w:rsidRPr="00000000" w14:paraId="00000068">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Total Limau Kasturi Harvest: 29,117 kg</w:t>
      </w:r>
    </w:p>
    <w:p w:rsidR="00000000" w:rsidDel="00000000" w:rsidP="00000000" w:rsidRDefault="00000000" w:rsidRPr="00000000" w14:paraId="00000069">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Hybrid-Regenerative Period (September 2024 - February 2025):</w:t>
      </w:r>
    </w:p>
    <w:p w:rsidR="00000000" w:rsidDel="00000000" w:rsidP="00000000" w:rsidRDefault="00000000" w:rsidRPr="00000000" w14:paraId="0000006A">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Total Limau Nipis Harvest: 47,000 kg (an </w:t>
      </w:r>
      <w:r w:rsidDel="00000000" w:rsidR="00000000" w:rsidRPr="00000000">
        <w:rPr>
          <w:rFonts w:ascii="Google Sans Text" w:cs="Google Sans Text" w:eastAsia="Google Sans Text" w:hAnsi="Google Sans Text"/>
          <w:b w:val="1"/>
          <w:rtl w:val="0"/>
        </w:rPr>
        <w:t xml:space="preserve">86.1% increase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B">
      <w:pPr>
        <w:numPr>
          <w:ilvl w:val="1"/>
          <w:numId w:val="1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Total Limau Kasturi Harvest: 47,565 kg (a </w:t>
      </w:r>
      <w:r w:rsidDel="00000000" w:rsidR="00000000" w:rsidRPr="00000000">
        <w:rPr>
          <w:rFonts w:ascii="Google Sans Text" w:cs="Google Sans Text" w:eastAsia="Google Sans Text" w:hAnsi="Google Sans Text"/>
          <w:b w:val="1"/>
          <w:rtl w:val="0"/>
        </w:rPr>
        <w:t xml:space="preserve">63.4% increase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critical, however, to interpret this increase with a nuanced understanding of the experimental setup described in the data as "Harvest from 1 site Regenerative Farming + 8 sites Conventional Farming".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reported yield increases represent the aggregate output of all nine sites, not the isolated output of the single regenerative plot (Site A). Consequently, it is not possible to attribute the entire 86% and 63% gains solely to the regenerative method. Other variables, such as natural seasonal yield variations, the progressive maturation of the perennial citrus trees across all nine sites, or other unrecorded management changes, could be significant contributing factors. The dataset establishes a strong correlation between the timing of the intervention at Site A and a system-wide increase in yield, but it does not provide the plot-level data necessary to prove direct causation.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limitation within the dataset is itself an important finding. It highlights the necessity for farm management systems to be capable of tracking performance on a plot-by-plot basis. To isolate the true impact of a specific intervention like a new soil agent, the dashboard must allow for side-by-side comparisons of plots under different management regimes. For the purposes of this analysis, the system-wide change is treated as a single intervention, and its impact is evaluated based on the aggregate data provided.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The Grade Quality Conundrum: Investigating the Low-Grade Product Anomaly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While total volume increased, a closer examination of the harvest data reveals a significant and concerning trend in crop quality, particularly for Limau Nipis. This addresses the "Unsolved Question" flagged in the dataset: "Why does the low grade product proportion increase upon regenerative farming?".</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Low Grade Product Percentage (LGPP), which represents the proportion of the total harvest classified as Grade B, showed a dramatic divergence between the two periods.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2">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Limau Nipis:</w:t>
      </w:r>
      <w:r w:rsidDel="00000000" w:rsidR="00000000" w:rsidRPr="00000000">
        <w:rPr>
          <w:rFonts w:ascii="Google Sans Text" w:cs="Google Sans Text" w:eastAsia="Google Sans Text" w:hAnsi="Google Sans Text"/>
          <w:rtl w:val="0"/>
        </w:rPr>
        <w:t xml:space="preserve"> The average LGPP surged from </w:t>
      </w:r>
      <w:r w:rsidDel="00000000" w:rsidR="00000000" w:rsidRPr="00000000">
        <w:rPr>
          <w:rFonts w:ascii="Google Sans Text" w:cs="Google Sans Text" w:eastAsia="Google Sans Text" w:hAnsi="Google Sans Text"/>
          <w:b w:val="1"/>
          <w:rtl w:val="0"/>
        </w:rPr>
        <w:t xml:space="preserve">14.2%</w:t>
      </w:r>
      <w:r w:rsidDel="00000000" w:rsidR="00000000" w:rsidRPr="00000000">
        <w:rPr>
          <w:rFonts w:ascii="Google Sans Text" w:cs="Google Sans Text" w:eastAsia="Google Sans Text" w:hAnsi="Google Sans Text"/>
          <w:rtl w:val="0"/>
        </w:rPr>
        <w:t xml:space="preserve"> during the conventional period to </w:t>
      </w:r>
      <w:r w:rsidDel="00000000" w:rsidR="00000000" w:rsidRPr="00000000">
        <w:rPr>
          <w:rFonts w:ascii="Google Sans Text" w:cs="Google Sans Text" w:eastAsia="Google Sans Text" w:hAnsi="Google Sans Text"/>
          <w:b w:val="1"/>
          <w:rtl w:val="0"/>
        </w:rPr>
        <w:t xml:space="preserve">28.2%</w:t>
      </w:r>
      <w:r w:rsidDel="00000000" w:rsidR="00000000" w:rsidRPr="00000000">
        <w:rPr>
          <w:rFonts w:ascii="Google Sans Text" w:cs="Google Sans Text" w:eastAsia="Google Sans Text" w:hAnsi="Google Sans Text"/>
          <w:rtl w:val="0"/>
        </w:rPr>
        <w:t xml:space="preserve"> during the hybrid-regenerative period.</w:t>
      </w:r>
    </w:p>
    <w:p w:rsidR="00000000" w:rsidDel="00000000" w:rsidP="00000000" w:rsidRDefault="00000000" w:rsidRPr="00000000" w14:paraId="00000073">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Limau Kasturi:</w:t>
      </w:r>
      <w:r w:rsidDel="00000000" w:rsidR="00000000" w:rsidRPr="00000000">
        <w:rPr>
          <w:rFonts w:ascii="Google Sans Text" w:cs="Google Sans Text" w:eastAsia="Google Sans Text" w:hAnsi="Google Sans Text"/>
          <w:rtl w:val="0"/>
        </w:rPr>
        <w:t xml:space="preserve"> The average LGPP remained relatively stable, shifting only slightly from </w:t>
      </w:r>
      <w:r w:rsidDel="00000000" w:rsidR="00000000" w:rsidRPr="00000000">
        <w:rPr>
          <w:rFonts w:ascii="Google Sans Text" w:cs="Google Sans Text" w:eastAsia="Google Sans Text" w:hAnsi="Google Sans Text"/>
          <w:b w:val="1"/>
          <w:rtl w:val="0"/>
        </w:rPr>
        <w:t xml:space="preserve">5.9%</w:t>
      </w:r>
      <w:r w:rsidDel="00000000" w:rsidR="00000000" w:rsidRPr="00000000">
        <w:rPr>
          <w:rFonts w:ascii="Google Sans Text" w:cs="Google Sans Text" w:eastAsia="Google Sans Text" w:hAnsi="Google Sans Text"/>
          <w:rtl w:val="0"/>
        </w:rPr>
        <w:t xml:space="preserve"> to </w:t>
      </w:r>
      <w:r w:rsidDel="00000000" w:rsidR="00000000" w:rsidRPr="00000000">
        <w:rPr>
          <w:rFonts w:ascii="Google Sans Text" w:cs="Google Sans Text" w:eastAsia="Google Sans Text" w:hAnsi="Google Sans Text"/>
          <w:b w:val="1"/>
          <w:rtl w:val="0"/>
        </w:rPr>
        <w:t xml:space="preserve">6.4%</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sharp decline in the quality grade of Limau Nipis, while Limau Kasturi remained unaffected, suggests a species-specific response to the changes in the farming system. A multi-faceted hypothesis, drawing on principles of plant physiology and agronomy, can be formulated to explain this phenomenon.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Hypothesis 1: Short-Term Nutrient Shock and Plant Stress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Perennial crops like citrus trees become physiologically accustomed to the consistent and readily available supply of nutrients from synthetic fertilizers. The transition to a microalgae-based agent represents a fundamental shift in nutrient delivery, from soluble chemical forms to a system reliant on microbial activity to release nutrients from organic matter.4 This change can induce a period of temporary physiological stress as the plant adapts. Such stress can manifest in cosmetic imperfections, inconsistent fruit sizing, or variations in peel thickness and color, all of which are primary factors in quality grading.7 The microalgae agent introduces not just NPK but a complex suite of biomolecules, phytohormones, and micronutrients that can alter the plant's metabolism and fruit development in the short term.8</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Hypothesis 2: Increased Pest Pressure due to Reduced Chemical Intervention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cost data reveals a significant change in the pest management strategy. Under the regenerative model, pesticide applications were reduced from three times per month to twice per month, and the cost per application dropped from RM 171 to RM 55, indicating a change to a less potent or different type of agent.1 While regenerative agriculture aims to build long-term ecosystem resilience and natural pest control through enhanced soil and plant health 9, the immediate reduction in chemical pesticides can create a window of opportunity for pest populations to increase. Many pests cause superficial, cosmetic damage—such as scarring, spotting, or discoloration from insect feeding—that does not impact the fruit's internal quality or edibility but is sufficient to downgrade it from Grade A to Grade B based on stringent market standards.7 The fact that this effect was pronounced in Limau Nipis suggests a species-specific susceptibility to a particular pest that may have thrived in the lower-pesticide environment.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Hypothesis 3: Physiological Changes in Fruit Development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External research has shown that organic amendments and biostimulants like algae extracts can directly influence fruit characteristics. They have been observed to enhance fruit size, weight, juice content, and total soluble solids.11 It is plausible that the regenerative agent prompted the Limau Nipis trees to produce larger but less uniform fruit, or fruit with a different peel texture or color profile that did not align with the established criteria for Grade A. In this scenario, the issue is not a decline in the fruit's intrinsic quality but a change in its physical profile that is penalized by the existing grading standards.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most probable explanation is a combination of these factors, primarily increased cosmetic damage from pests due to reduced chemical intervention, potentially compounded by short-term plant stress. This represents a classic transitional challenge in shifting to regenerative agriculture. A robust dashboard must track LGPP as a critical metric and could provide maximum value by allowing farmers to correlate it with other data streams, such as pest scouting reports or soil nutrient availability tests.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Revenue Implications of the Quality Shift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Connecting the yield and quality data to financial outcomes reveals a critical dynamic. Despite the significant drop in quality grade for Limau Nipis, the overall revenue for the farm increased dramatically due to the sheer volume of the harvest.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0">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Conventional Period (6 months):</w:t>
      </w:r>
    </w:p>
    <w:p w:rsidR="00000000" w:rsidDel="00000000" w:rsidP="00000000" w:rsidRDefault="00000000" w:rsidRPr="00000000" w14:paraId="00000081">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Limau Nipis Revenue: RM 203,647</w:t>
      </w:r>
    </w:p>
    <w:p w:rsidR="00000000" w:rsidDel="00000000" w:rsidP="00000000" w:rsidRDefault="00000000" w:rsidRPr="00000000" w14:paraId="00000082">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Limau Kasturi Revenue: RM 207,243</w:t>
      </w:r>
    </w:p>
    <w:p w:rsidR="00000000" w:rsidDel="00000000" w:rsidP="00000000" w:rsidRDefault="00000000" w:rsidRPr="00000000" w14:paraId="00000083">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Total Revenue: RM 410,890</w:t>
      </w:r>
    </w:p>
    <w:p w:rsidR="00000000" w:rsidDel="00000000" w:rsidP="00000000" w:rsidRDefault="00000000" w:rsidRPr="00000000" w14:paraId="00000084">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Hybrid-Regenerative Period (6 months):</w:t>
      </w:r>
    </w:p>
    <w:p w:rsidR="00000000" w:rsidDel="00000000" w:rsidP="00000000" w:rsidRDefault="00000000" w:rsidRPr="00000000" w14:paraId="00000085">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Limau Nipis Revenue: RM 370,165</w:t>
      </w:r>
    </w:p>
    <w:p w:rsidR="00000000" w:rsidDel="00000000" w:rsidP="00000000" w:rsidRDefault="00000000" w:rsidRPr="00000000" w14:paraId="00000086">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Limau Kasturi Revenue: RM 338,652</w:t>
      </w:r>
    </w:p>
    <w:p w:rsidR="00000000" w:rsidDel="00000000" w:rsidP="00000000" w:rsidRDefault="00000000" w:rsidRPr="00000000" w14:paraId="00000087">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Total Revenue: RM 708,817</w:t>
      </w:r>
      <w:r w:rsidDel="00000000" w:rsidR="00000000" w:rsidRPr="00000000">
        <w:rPr>
          <w:rFonts w:ascii="Google Sans Text" w:cs="Google Sans Text" w:eastAsia="Google Sans Text" w:hAnsi="Google Sans Text"/>
          <w:rtl w:val="0"/>
        </w:rPr>
        <w:t xml:space="preserve"> (a </w:t>
      </w:r>
      <w:r w:rsidDel="00000000" w:rsidR="00000000" w:rsidRPr="00000000">
        <w:rPr>
          <w:rFonts w:ascii="Google Sans Text" w:cs="Google Sans Text" w:eastAsia="Google Sans Text" w:hAnsi="Google Sans Text"/>
          <w:b w:val="1"/>
          <w:rtl w:val="0"/>
        </w:rPr>
        <w:t xml:space="preserve">72.5% increase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outcome presents a potential pitfall for farm management. The massive increase in total harvest volume more than compensated for the lower average price per kilogram that resulted from the higher proportion of Grade B fruit. A manager focusing solely on the top-line revenue might overlook the developing quality problem. This masks an underlying operational issue that could erode profitability if the LGPP trend continues or if the market price differential between Grade A and Grade B widens.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situation perfectly illustrates the need for a multi-faceted dashboard. The system must decouple volume and quality metrics, providing separate, clear visualizations for total yield, grade distribution (e.g., a pie or bar chart), and the effective (average) price per kilogram. This allows the farmer to celebrate the success in production volume while simultaneously identifying and addressing the challenge in crop quality, enabling a more holistic and sustainable management approach.</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Monthly Harvest and Quality Grade Analysis (Conventional vs. Regenerative Periods)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Crop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Month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Farming Period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Total Harvest (kg)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Grade A (kg)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Grade B (kg)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LGPP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Limau Nipis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3,703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486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Apr-24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4,360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3,874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486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May-24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Jun-24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5,712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4,675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Jul-24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3,278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654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2,652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2,221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Sep-24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8,631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5,784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2,847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Oct-24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11,857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8,384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3,473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29.3%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Nov-24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11,332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6,274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5,058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5,896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1,464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Jan-25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5,773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4,438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Feb-25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3,011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Limau Kasturi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5,414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4,732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682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Apr-24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9,063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8,215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848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May-24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5,235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4,881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Jun-24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5,398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5,033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Jul-24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2,044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Aug-24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1,963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Sep-24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6,407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6,383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Oct-24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7,736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7,736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Nov-24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4,819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4,324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495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Dec-24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7,588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7,170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Jan-25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14,437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12,754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1,683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Feb-25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Hybrid-Regen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6,578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5,881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697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10.6%</w:t>
            </w:r>
          </w:p>
        </w:tc>
      </w:tr>
    </w:tbl>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4: Economic Performance and Cost-Benefit Analysis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comprehensive evaluation of any farming system must extend beyond yield and revenue to a rigorous analysis of input costs and overall economic efficiency. This section provides a detailed financial assessment of the transition at Site A, demonstrating that the regenerative model is not only environmentally superior but also more profitable and economically resilient. The analysis directly addresses the competition's requirement for a clear cost comparison between conventional and regenerative farming.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Deconstruction of Input Costs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granular breakdown of the monthly operational expenditures for a single site (Site A, specified as 3 ares in size) reveals the direct source of the economic advantage of the regenerative system. The data, detailed in the costing worksheets, shows a significant reduction in spending on key inputs.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Conventional Farming Monthly Costs (Per Site):</w:t>
      </w:r>
    </w:p>
    <w:p w:rsidR="00000000" w:rsidDel="00000000" w:rsidP="00000000" w:rsidRDefault="00000000" w:rsidRPr="00000000" w14:paraId="0000014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Pesticide + Foliar Agrochemicals:</w:t>
      </w:r>
      <w:r w:rsidDel="00000000" w:rsidR="00000000" w:rsidRPr="00000000">
        <w:rPr>
          <w:rFonts w:ascii="Google Sans Text" w:cs="Google Sans Text" w:eastAsia="Google Sans Text" w:hAnsi="Google Sans Text"/>
          <w:rtl w:val="0"/>
        </w:rPr>
        <w:t xml:space="preserve"> Three applications per month at a cost of RM 171 each, totaling </w:t>
      </w:r>
      <w:r w:rsidDel="00000000" w:rsidR="00000000" w:rsidRPr="00000000">
        <w:rPr>
          <w:rFonts w:ascii="Google Sans Text" w:cs="Google Sans Text" w:eastAsia="Google Sans Text" w:hAnsi="Google Sans Text"/>
          <w:b w:val="1"/>
          <w:rtl w:val="0"/>
        </w:rPr>
        <w:t xml:space="preserve">RM 513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A">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Fertilizer:</w:t>
      </w:r>
      <w:r w:rsidDel="00000000" w:rsidR="00000000" w:rsidRPr="00000000">
        <w:rPr>
          <w:rFonts w:ascii="Google Sans Text" w:cs="Google Sans Text" w:eastAsia="Google Sans Text" w:hAnsi="Google Sans Text"/>
          <w:rtl w:val="0"/>
        </w:rPr>
        <w:t xml:space="preserve"> Two applications per month, one costing RM 217.8 and the other RM 157.5, totaling </w:t>
      </w:r>
      <w:r w:rsidDel="00000000" w:rsidR="00000000" w:rsidRPr="00000000">
        <w:rPr>
          <w:rFonts w:ascii="Google Sans Text" w:cs="Google Sans Text" w:eastAsia="Google Sans Text" w:hAnsi="Google Sans Text"/>
          <w:b w:val="1"/>
          <w:rtl w:val="0"/>
        </w:rPr>
        <w:t xml:space="preserve">RM 375.3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B">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Total Monthly Cost:</w:t>
      </w:r>
      <w:r w:rsidDel="00000000" w:rsidR="00000000" w:rsidRPr="00000000">
        <w:rPr>
          <w:rFonts w:ascii="Google Sans Text" w:cs="Google Sans Text" w:eastAsia="Google Sans Text" w:hAnsi="Google Sans Text"/>
          <w:rtl w:val="0"/>
        </w:rPr>
        <w:t xml:space="preserve"> The sum of these inputs is </w:t>
      </w:r>
      <w:r w:rsidDel="00000000" w:rsidR="00000000" w:rsidRPr="00000000">
        <w:rPr>
          <w:rFonts w:ascii="Google Sans Text" w:cs="Google Sans Text" w:eastAsia="Google Sans Text" w:hAnsi="Google Sans Text"/>
          <w:b w:val="1"/>
          <w:rtl w:val="0"/>
        </w:rPr>
        <w:t xml:space="preserve">RM 888.3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Regenerative Farming Monthly Costs (Per Site):</w:t>
      </w:r>
    </w:p>
    <w:p w:rsidR="00000000" w:rsidDel="00000000" w:rsidP="00000000" w:rsidRDefault="00000000" w:rsidRPr="00000000" w14:paraId="0000014D">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Soil Regenerative Agent:</w:t>
      </w:r>
      <w:r w:rsidDel="00000000" w:rsidR="00000000" w:rsidRPr="00000000">
        <w:rPr>
          <w:rFonts w:ascii="Google Sans Text" w:cs="Google Sans Text" w:eastAsia="Google Sans Text" w:hAnsi="Google Sans Text"/>
          <w:rtl w:val="0"/>
        </w:rPr>
        <w:t xml:space="preserve"> One primary application of 6000L of microalgae water at a cost of </w:t>
      </w:r>
      <w:r w:rsidDel="00000000" w:rsidR="00000000" w:rsidRPr="00000000">
        <w:rPr>
          <w:rFonts w:ascii="Google Sans Text" w:cs="Google Sans Text" w:eastAsia="Google Sans Text" w:hAnsi="Google Sans Text"/>
          <w:b w:val="1"/>
          <w:rtl w:val="0"/>
        </w:rPr>
        <w:t xml:space="preserve">RM 600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E">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Pesticides:</w:t>
      </w:r>
      <w:r w:rsidDel="00000000" w:rsidR="00000000" w:rsidRPr="00000000">
        <w:rPr>
          <w:rFonts w:ascii="Google Sans Text" w:cs="Google Sans Text" w:eastAsia="Google Sans Text" w:hAnsi="Google Sans Text"/>
          <w:rtl w:val="0"/>
        </w:rPr>
        <w:t xml:space="preserve"> Two reduced applications per month at a cost of RM 55 each, totaling </w:t>
      </w:r>
      <w:r w:rsidDel="00000000" w:rsidR="00000000" w:rsidRPr="00000000">
        <w:rPr>
          <w:rFonts w:ascii="Google Sans Text" w:cs="Google Sans Text" w:eastAsia="Google Sans Text" w:hAnsi="Google Sans Text"/>
          <w:b w:val="1"/>
          <w:rtl w:val="0"/>
        </w:rPr>
        <w:t xml:space="preserve">RM 110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F">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Total Monthly Cost:</w:t>
      </w:r>
      <w:r w:rsidDel="00000000" w:rsidR="00000000" w:rsidRPr="00000000">
        <w:rPr>
          <w:rFonts w:ascii="Google Sans Text" w:cs="Google Sans Text" w:eastAsia="Google Sans Text" w:hAnsi="Google Sans Text"/>
          <w:rtl w:val="0"/>
        </w:rPr>
        <w:t xml:space="preserve"> The sum of these inputs is </w:t>
      </w:r>
      <w:r w:rsidDel="00000000" w:rsidR="00000000" w:rsidRPr="00000000">
        <w:rPr>
          <w:rFonts w:ascii="Google Sans Text" w:cs="Google Sans Text" w:eastAsia="Google Sans Text" w:hAnsi="Google Sans Text"/>
          <w:b w:val="1"/>
          <w:rtl w:val="0"/>
        </w:rPr>
        <w:t xml:space="preserve">RM 710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direct comparison shows that the regenerative model yields a monthly cost saving of RM 178.3 per site. This represents a </w:t>
      </w:r>
      <w:r w:rsidDel="00000000" w:rsidR="00000000" w:rsidRPr="00000000">
        <w:rPr>
          <w:rFonts w:ascii="Google Sans Text" w:cs="Google Sans Text" w:eastAsia="Google Sans Text" w:hAnsi="Google Sans Text"/>
          <w:b w:val="1"/>
          <w:rtl w:val="0"/>
        </w:rPr>
        <w:t xml:space="preserve">20.07% reduction in monthly operational input costs</w:t>
      </w:r>
      <w:r w:rsidDel="00000000" w:rsidR="00000000" w:rsidRPr="00000000">
        <w:rPr>
          <w:rFonts w:ascii="Google Sans Text" w:cs="Google Sans Text" w:eastAsia="Google Sans Text" w:hAnsi="Google Sans Text"/>
          <w:rtl w:val="0"/>
        </w:rPr>
        <w:t xml:space="preserve">. This saving is achieved by replacing a frequent, multi-product regime of synthetic fertilizers and agrochemicals with a simpler, more cost-effective application of the microalgae agent and a reduced, targeted pesticide program.</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Profitability and Efficiency: The Revenue-to-Cost Margin</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To move beyond a simple cost comparison, the "Revenue/Fertiliser Cost Margin" provides a powerful metric for assessing the overall economic efficiency of the system. This ratio, calculated monthly in the harvest data, measures how much revenue is generated for every ringgit spent on the primary soil inputs (fertilizers in the conventional system, the regenerative agent in the new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analysis of this margin, aggregated for both citrus crops, shows a dramatic improvement in efficiency:</w:t>
      </w:r>
    </w:p>
    <w:p w:rsidR="00000000" w:rsidDel="00000000" w:rsidP="00000000" w:rsidRDefault="00000000" w:rsidRPr="00000000" w14:paraId="00000156">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Conventional Period Average Margin (Mar-Aug 2024):</w:t>
      </w:r>
      <w:r w:rsidDel="00000000" w:rsidR="00000000" w:rsidRPr="00000000">
        <w:rPr>
          <w:rFonts w:ascii="Google Sans Text" w:cs="Google Sans Text" w:eastAsia="Google Sans Text" w:hAnsi="Google Sans Text"/>
          <w:rtl w:val="0"/>
        </w:rPr>
        <w:t xml:space="preserve"> The average of the monthly total margins is </w:t>
      </w:r>
      <w:r w:rsidDel="00000000" w:rsidR="00000000" w:rsidRPr="00000000">
        <w:rPr>
          <w:rFonts w:ascii="Google Sans Text" w:cs="Google Sans Text" w:eastAsia="Google Sans Text" w:hAnsi="Google Sans Text"/>
          <w:b w:val="1"/>
          <w:rtl w:val="0"/>
        </w:rPr>
        <w:t xml:space="preserve">77.13</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7">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Hybrid-Regenerative Period Average Margin (Sep 2024 - Feb 2025):</w:t>
      </w:r>
      <w:r w:rsidDel="00000000" w:rsidR="00000000" w:rsidRPr="00000000">
        <w:rPr>
          <w:rFonts w:ascii="Google Sans Text" w:cs="Google Sans Text" w:eastAsia="Google Sans Text" w:hAnsi="Google Sans Text"/>
          <w:rtl w:val="0"/>
        </w:rPr>
        <w:t xml:space="preserve"> The average of the monthly total margins is </w:t>
      </w:r>
      <w:r w:rsidDel="00000000" w:rsidR="00000000" w:rsidRPr="00000000">
        <w:rPr>
          <w:rFonts w:ascii="Google Sans Text" w:cs="Google Sans Text" w:eastAsia="Google Sans Text" w:hAnsi="Google Sans Text"/>
          <w:b w:val="1"/>
          <w:rtl w:val="0"/>
        </w:rPr>
        <w:t xml:space="preserve">153.52</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represents a </w:t>
      </w:r>
      <w:r w:rsidDel="00000000" w:rsidR="00000000" w:rsidRPr="00000000">
        <w:rPr>
          <w:rFonts w:ascii="Google Sans Text" w:cs="Google Sans Text" w:eastAsia="Google Sans Text" w:hAnsi="Google Sans Text"/>
          <w:b w:val="1"/>
          <w:rtl w:val="0"/>
        </w:rPr>
        <w:t xml:space="preserve">99.0% increase</w:t>
      </w:r>
      <w:r w:rsidDel="00000000" w:rsidR="00000000" w:rsidRPr="00000000">
        <w:rPr>
          <w:rFonts w:ascii="Google Sans Text" w:cs="Google Sans Text" w:eastAsia="Google Sans Text" w:hAnsi="Google Sans Text"/>
          <w:rtl w:val="0"/>
        </w:rPr>
        <w:t xml:space="preserve"> in the revenue-to-cost efficiency ratio. This near-doubling of efficiency is the result of a powerful compounding economic effect. The transition to the regenerative model simultaneously increased the numerator of this ratio (total revenue, driven by higher yields) and decreased the denominator (input costs). The farm was able to generate substantially more revenue while spending less on the inputs required to achieve that revenue.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efficiency metric is arguably more insightful than revenue or cost figures in isolation. It captures the core economic benefit of the regenerative system: enhanced productivity of capital. For a farmer making data-informed decisions, this ratio serves as a primary KPI, elegantly demonstrating the return on investment in soil health. It should be a featured element on any management dashboard designed to quantify the benefits of regenerative agriculture.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3: Comparative Monthly and 6-Month Cost Analysis (Per Site)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Farming 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Cost 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Items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Monthly Cost (RM)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6-Month Total Cost (RM)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Conventional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Pesticide &amp; Agrochemicals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applications/month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513.00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3,078.00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Fertilizer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NPK + Organic applications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375.30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2,251.80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Total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888.30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5,329.80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Regenerative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Soil Regenerative Agent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application/month (Microalgae)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600.00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Pesticides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reduced applications/month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660.00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Total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710.00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4,260.00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Comparison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-178.30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-1,069.80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Cost Saving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20.07%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20.07%</w:t>
            </w:r>
          </w:p>
        </w:tc>
      </w:tr>
    </w:tbl>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18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5: Quantifying the Environmental Dividend</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core premise of regenerative agriculture is its ability to produce food in a way that not only minimizes harm but actively benefits the surrounding ecosystem. The transition at Site A provides a clear case study of this principle in action. By shifting away from a reliance on synthetic chemical inputs, the farm was able to achieve significant, quantifiable reductions in its environmental footprint. This section translates the operational changes into measurable environmental outcomes, specifically addressing the challenges of estimating eutrophication potential and carbon footprint as required by the competition brief.</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analysis is based on the detailed calculations presented in the environmental impact worksheet.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9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Mitigating Eutrophication Potential: Reducing Nutrient Runoff</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Eutrophication, the harmful over-enrichment of water bodies with nutrients, is a primary environmental consequence of conventional agriculture. Excess nitrogen (N) and phosphorus (P) from fertilizers can run off fields into rivers and lakes, causing algal blooms that deplete oxygen and harm aquatic life. The regenerative model at Site A directly addresses this problem by drastically reducing the total load of applied N and P.</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calculations for a single site on an annualized basis demonstrate the magnitude of this improvement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95">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Nitrogen (N):</w:t>
      </w:r>
    </w:p>
    <w:p w:rsidR="00000000" w:rsidDel="00000000" w:rsidP="00000000" w:rsidRDefault="00000000" w:rsidRPr="00000000" w14:paraId="00000196">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Conventional Practice N Applied: 170.4 kg/year</w:t>
      </w:r>
    </w:p>
    <w:p w:rsidR="00000000" w:rsidDel="00000000" w:rsidP="00000000" w:rsidRDefault="00000000" w:rsidRPr="00000000" w14:paraId="0000019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Regenerative Practice N Applied: 3.6 kg/year (primarily from the microalgae agent)</w:t>
      </w:r>
    </w:p>
    <w:p w:rsidR="00000000" w:rsidDel="00000000" w:rsidP="00000000" w:rsidRDefault="00000000" w:rsidRPr="00000000" w14:paraId="00000198">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Using midpoint characterization factors to convert applied N to its eutrophication potential (in kg N equivalent), the analysis shows a </w:t>
      </w:r>
      <w:r w:rsidDel="00000000" w:rsidR="00000000" w:rsidRPr="00000000">
        <w:rPr>
          <w:rFonts w:ascii="Google Sans Text" w:cs="Google Sans Text" w:eastAsia="Google Sans Text" w:hAnsi="Google Sans Text"/>
          <w:b w:val="1"/>
          <w:rtl w:val="0"/>
        </w:rPr>
        <w:t xml:space="preserve">97.9% reduction in N-based eutrophication potential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99">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Phosphorus (P):</w:t>
      </w:r>
    </w:p>
    <w:p w:rsidR="00000000" w:rsidDel="00000000" w:rsidP="00000000" w:rsidRDefault="00000000" w:rsidRPr="00000000" w14:paraId="0000019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Conventional Practice P Applied: 74.0 kg/year</w:t>
      </w:r>
    </w:p>
    <w:p w:rsidR="00000000" w:rsidDel="00000000" w:rsidP="00000000" w:rsidRDefault="00000000" w:rsidRPr="00000000" w14:paraId="0000019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Regenerative Practice P Applied: 0.36 kg/year</w:t>
      </w:r>
    </w:p>
    <w:p w:rsidR="00000000" w:rsidDel="00000000" w:rsidP="00000000" w:rsidRDefault="00000000" w:rsidRPr="00000000" w14:paraId="0000019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Similarly, converting applied P to its eutrophication potential (in kg PO4​ equivalent) results in a </w:t>
      </w:r>
      <w:r w:rsidDel="00000000" w:rsidR="00000000" w:rsidRPr="00000000">
        <w:rPr>
          <w:rFonts w:ascii="Google Sans Text" w:cs="Google Sans Text" w:eastAsia="Google Sans Text" w:hAnsi="Google Sans Text"/>
          <w:b w:val="1"/>
          <w:rtl w:val="0"/>
        </w:rPr>
        <w:t xml:space="preserve">99.5% reduction in P-based eutrophication potential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figures represent a near-total mitigation of the farm's risk of contributing to local water pollution from nutrient runoff. This is a critical ESG (Environmental, Social, and Governance) metric that demonstrates a tangible commitment to protecting local ecosystems.</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Carbon Footprint Reversal: From Emitter to Sink</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water quality, the transition to regenerative practices also had a profound impact on the farm's climate footprint. The analysis considers two primary components: the emissions avoided by not using synthetic fertilizers, and the carbon directly sequestered by the microalgae agent.</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Emissions from Conventional Fertilizers:</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production and application of synthetic nitrogen and phosphorus fertilizers are energy-intensive processes that release significant amounts of greenhouse gases. The calculated emissions associated with the conventional practice at Site A are 1:</w:t>
      </w:r>
    </w:p>
    <w:p w:rsidR="00000000" w:rsidDel="00000000" w:rsidP="00000000" w:rsidRDefault="00000000" w:rsidRPr="00000000" w14:paraId="000001A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From Nitrogen Fertilizer: 624.1 kg CO2​eq per year</w:t>
      </w:r>
    </w:p>
    <w:p w:rsidR="00000000" w:rsidDel="00000000" w:rsidP="00000000" w:rsidRDefault="00000000" w:rsidRPr="00000000" w14:paraId="000001A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From Phosphorus Fertilizer: 231.3 kg CO2​eq per year</w:t>
      </w:r>
    </w:p>
    <w:p w:rsidR="00000000" w:rsidDel="00000000" w:rsidP="00000000" w:rsidRDefault="00000000" w:rsidRPr="00000000" w14:paraId="000001A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Total Conventional Emissions:</w:t>
      </w:r>
      <w:r w:rsidDel="00000000" w:rsidR="00000000" w:rsidRPr="00000000">
        <w:rPr>
          <w:rFonts w:ascii="Google Sans Text" w:cs="Google Sans Text" w:eastAsia="Google Sans Text" w:hAnsi="Google Sans Text"/>
          <w:rtl w:val="0"/>
        </w:rPr>
        <w:t xml:space="preserve"> 855.4 kg CO2​eq per year</w:t>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Carbon Impact of Regenerative Agent:</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microalgae-based agent contributes to carbon reduction in two ways. First, by replacing synthetic fertilizers, it avoids the 855.4 kg CO2​eq of emissions. Second, the microalgae themselves sequester atmospheric carbon during their growth phase. The analysis quantifies this direct uptake 1:</w:t>
      </w:r>
    </w:p>
    <w:p w:rsidR="00000000" w:rsidDel="00000000" w:rsidP="00000000" w:rsidRDefault="00000000" w:rsidRPr="00000000" w14:paraId="000001A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Carbon Uptake by Microalgae: -131.76 kg CO2​eq per year (The negative sign indicates removal from the atmosphere).</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 Carbon Impact:</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total net carbon benefit is the sum of the avoided emissions and the direct uptake, resulting in a total of 987.1 kg CO2​eq avoided per year for Site A. This effectively transforms the site's input management from a net source of emissions into a net carbon sink.</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this carbon avoidance creates an opportunity to participate in carbon credit markets, the financial incentive is currently modest. The dataset calculates a potential annual revenue of approximately RM 15 from selling this credit, a sum described as "not practical".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However, the strategic value of this data extends far beyond direct credit sales. The ability to verifiably claim that the farming practice is carbon-negative or climate-positive has immense marketing and branding potential. It can unlock access to premium "green" supply chains, appeal to environmentally conscious consumers, and attract favorable attention from ESG-focused investors and partners. Therefore, a management dashboard should position the carbon footprint data not as a minor revenue stream, but as a powerful tool for building a sustainable brand identity and demonstrating corporate responsibility.</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4: Summary of Environmental Impact Reduction (Per Site, Per Year)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Conventional Practice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Regenerative Practice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 Reduction / Improvement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Nitrogen (N) Applied (kg/year)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170.4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Phosphorus (P) Applied (kg/year)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0.36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N-Eutrophication Potential (kg N eq)</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35.81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0.76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P-Eutrophication Potential (kg PO4 eq)</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0.37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0.0018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Net Carbon Footprint (kg CO2eq/year)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+855.4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-131.8*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Note: The regenerative carbon footprint is negative, indicating net sequestration/avoidance. The total annual carbon benefit (avoided emissions + sequestration) is 987.1 kg CO2eq.</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tl w:val="0"/>
              </w:rPr>
            </w:r>
          </w:p>
        </w:tc>
      </w:tr>
    </w:tbl>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1C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Section 6: Strategic Implications for Dashboard Design and Scenario Modeling</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preceding analysis provides a rich, multi-dimensional view of the transition from conventional to regenerative agriculture. The ultimate purpose of this knowledge base is to inform the development of a dashboard-driven process control solution for farmers. This final section synthesizes the key findings into a set of strategic recommendations for the design and functionality of such a dashboard, ensuring it provides actionable insights that address the core challenges of the competition.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D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Core Metrics and KPIs for Real-Time Monitoring</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successful dashboard must distill complex data into a clear, intuitive interface that allows for at-a-glance assessment and deeper investigation. Based on the analysis, the following core metrics and Key Performance Indicators (KPIs) are recommended for the main dashboard view:</w:t>
      </w:r>
    </w:p>
    <w:p w:rsidR="00000000" w:rsidDel="00000000" w:rsidP="00000000" w:rsidRDefault="00000000" w:rsidRPr="00000000" w14:paraId="000001D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Soil Health:</w:t>
      </w:r>
      <w:r w:rsidDel="00000000" w:rsidR="00000000" w:rsidRPr="00000000">
        <w:rPr>
          <w:rFonts w:ascii="Google Sans Text" w:cs="Google Sans Text" w:eastAsia="Google Sans Text" w:hAnsi="Google Sans Text"/>
          <w:rtl w:val="0"/>
        </w:rPr>
        <w:t xml:space="preserve"> A prominent </w:t>
      </w:r>
      <w:r w:rsidDel="00000000" w:rsidR="00000000" w:rsidRPr="00000000">
        <w:rPr>
          <w:rFonts w:ascii="Google Sans Text" w:cs="Google Sans Text" w:eastAsia="Google Sans Text" w:hAnsi="Google Sans Text"/>
          <w:b w:val="1"/>
          <w:rtl w:val="0"/>
        </w:rPr>
        <w:t xml:space="preserve">Soil Quality Index (SQI)</w:t>
      </w:r>
      <w:r w:rsidDel="00000000" w:rsidR="00000000" w:rsidRPr="00000000">
        <w:rPr>
          <w:rFonts w:ascii="Google Sans Text" w:cs="Google Sans Text" w:eastAsia="Google Sans Text" w:hAnsi="Google Sans Text"/>
          <w:rtl w:val="0"/>
        </w:rPr>
        <w:t xml:space="preserve"> score (e.g., 81.25/100) should serve as the headline metric for soil health. This single number provides a holistic summary of progress. It should be designed with drill-down functionality, allowing users to click through to see the trends of its individual components: Soil Organic Matter (SOM), Total Carbon (TC), Total Nitrogen (TN), and Cation Exchange Capacity (CEC).</w:t>
      </w:r>
    </w:p>
    <w:p w:rsidR="00000000" w:rsidDel="00000000" w:rsidP="00000000" w:rsidRDefault="00000000" w:rsidRPr="00000000" w14:paraId="000001D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Productivity &amp; Quality:</w:t>
      </w:r>
      <w:r w:rsidDel="00000000" w:rsidR="00000000" w:rsidRPr="00000000">
        <w:rPr>
          <w:rFonts w:ascii="Google Sans Text" w:cs="Google Sans Text" w:eastAsia="Google Sans Text" w:hAnsi="Google Sans Text"/>
          <w:rtl w:val="0"/>
        </w:rPr>
        <w:t xml:space="preserve"> To address the critical trade-off observed in the data, the dashboard must display productivity and quality metrics side-by-side. This should include a line graph showing </w:t>
      </w:r>
      <w:r w:rsidDel="00000000" w:rsidR="00000000" w:rsidRPr="00000000">
        <w:rPr>
          <w:rFonts w:ascii="Google Sans Text" w:cs="Google Sans Text" w:eastAsia="Google Sans Text" w:hAnsi="Google Sans Text"/>
          <w:b w:val="1"/>
          <w:rtl w:val="0"/>
        </w:rPr>
        <w:t xml:space="preserve">Total Monthly Harvest (kg)</w:t>
      </w:r>
      <w:r w:rsidDel="00000000" w:rsidR="00000000" w:rsidRPr="00000000">
        <w:rPr>
          <w:rFonts w:ascii="Google Sans Text" w:cs="Google Sans Text" w:eastAsia="Google Sans Text" w:hAnsi="Google Sans Text"/>
          <w:rtl w:val="0"/>
        </w:rPr>
        <w:t xml:space="preserve"> to track volume, paired with a bar or pie chart visualizing the </w:t>
      </w:r>
      <w:r w:rsidDel="00000000" w:rsidR="00000000" w:rsidRPr="00000000">
        <w:rPr>
          <w:rFonts w:ascii="Google Sans Text" w:cs="Google Sans Text" w:eastAsia="Google Sans Text" w:hAnsi="Google Sans Text"/>
          <w:b w:val="1"/>
          <w:rtl w:val="0"/>
        </w:rPr>
        <w:t xml:space="preserve">Low Grade Product Percentage (LGPP)</w:t>
      </w:r>
      <w:r w:rsidDel="00000000" w:rsidR="00000000" w:rsidRPr="00000000">
        <w:rPr>
          <w:rFonts w:ascii="Google Sans Text" w:cs="Google Sans Text" w:eastAsia="Google Sans Text" w:hAnsi="Google Sans Text"/>
          <w:rtl w:val="0"/>
        </w:rPr>
        <w:t xml:space="preserve">. This prevents the success of high volume from masking a decline in quality.</w:t>
      </w:r>
    </w:p>
    <w:p w:rsidR="00000000" w:rsidDel="00000000" w:rsidP="00000000" w:rsidRDefault="00000000" w:rsidRPr="00000000" w14:paraId="000001D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Financial Performance:</w:t>
      </w:r>
      <w:r w:rsidDel="00000000" w:rsidR="00000000" w:rsidRPr="00000000">
        <w:rPr>
          <w:rFonts w:ascii="Google Sans Text" w:cs="Google Sans Text" w:eastAsia="Google Sans Text" w:hAnsi="Google Sans Text"/>
          <w:rtl w:val="0"/>
        </w:rPr>
        <w:t xml:space="preserve"> The most powerful economic metric identified was the </w:t>
      </w:r>
      <w:r w:rsidDel="00000000" w:rsidR="00000000" w:rsidRPr="00000000">
        <w:rPr>
          <w:rFonts w:ascii="Google Sans Text" w:cs="Google Sans Text" w:eastAsia="Google Sans Text" w:hAnsi="Google Sans Text"/>
          <w:b w:val="1"/>
          <w:rtl w:val="0"/>
        </w:rPr>
        <w:t xml:space="preserve">Revenue/Input Cost Margin</w:t>
      </w:r>
      <w:r w:rsidDel="00000000" w:rsidR="00000000" w:rsidRPr="00000000">
        <w:rPr>
          <w:rFonts w:ascii="Google Sans Text" w:cs="Google Sans Text" w:eastAsia="Google Sans Text" w:hAnsi="Google Sans Text"/>
          <w:rtl w:val="0"/>
        </w:rPr>
        <w:t xml:space="preserve">. This ratio should be featured prominently as it elegantly captures overall efficiency. This can be supplemented with simpler metrics like </w:t>
      </w:r>
      <w:r w:rsidDel="00000000" w:rsidR="00000000" w:rsidRPr="00000000">
        <w:rPr>
          <w:rFonts w:ascii="Google Sans Text" w:cs="Google Sans Text" w:eastAsia="Google Sans Text" w:hAnsi="Google Sans Text"/>
          <w:b w:val="1"/>
          <w:rtl w:val="0"/>
        </w:rPr>
        <w:t xml:space="preserve">Monthly Operational Cost per Site</w:t>
      </w:r>
      <w:r w:rsidDel="00000000" w:rsidR="00000000" w:rsidRPr="00000000">
        <w:rPr>
          <w:rFonts w:ascii="Google Sans Text" w:cs="Google Sans Text" w:eastAsia="Google Sans Text" w:hAnsi="Google Sans Text"/>
          <w:rtl w:val="0"/>
        </w:rPr>
        <w:t xml:space="preserve"> to track direct savings.</w:t>
      </w:r>
    </w:p>
    <w:p w:rsidR="00000000" w:rsidDel="00000000" w:rsidP="00000000" w:rsidRDefault="00000000" w:rsidRPr="00000000" w14:paraId="000001D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Environmental Impact:</w:t>
      </w:r>
      <w:r w:rsidDel="00000000" w:rsidR="00000000" w:rsidRPr="00000000">
        <w:rPr>
          <w:rFonts w:ascii="Google Sans Text" w:cs="Google Sans Text" w:eastAsia="Google Sans Text" w:hAnsi="Google Sans Text"/>
          <w:rtl w:val="0"/>
        </w:rPr>
        <w:t xml:space="preserve"> The dashboard should include a cumulative tracker for key environmental benefits. </w:t>
      </w:r>
      <w:r w:rsidDel="00000000" w:rsidR="00000000" w:rsidRPr="00000000">
        <w:rPr>
          <w:rFonts w:ascii="Google Sans Text" w:cs="Google Sans Text" w:eastAsia="Google Sans Text" w:hAnsi="Google Sans Text"/>
          <w:b w:val="1"/>
          <w:rtl w:val="0"/>
        </w:rPr>
        <w:t xml:space="preserve">Total CO2​eq Avoided (kg)</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Eutrophication Risk Reduction (%)</w:t>
      </w:r>
      <w:r w:rsidDel="00000000" w:rsidR="00000000" w:rsidRPr="00000000">
        <w:rPr>
          <w:rFonts w:ascii="Google Sans Text" w:cs="Google Sans Text" w:eastAsia="Google Sans Text" w:hAnsi="Google Sans Text"/>
          <w:rtl w:val="0"/>
        </w:rPr>
        <w:t xml:space="preserve"> are powerful ESG metrics that quantify the farm's positive environmental contribution.</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Framework for Scenario Simulation</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move from monitoring to strategic planning, the dashboard must include a simulation module. This allows farmers to assess the potential impact of various external factors on their operation's viability, as required by the competition brief. The following framework, based on variables identified in the dataset, is proposed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D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Market Volatility Simulation:</w:t>
      </w:r>
    </w:p>
    <w:p w:rsidR="00000000" w:rsidDel="00000000" w:rsidP="00000000" w:rsidRDefault="00000000" w:rsidRPr="00000000" w14:paraId="000001DE">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Input Variables:</w:t>
      </w:r>
      <w:r w:rsidDel="00000000" w:rsidR="00000000" w:rsidRPr="00000000">
        <w:rPr>
          <w:rFonts w:ascii="Google Sans Text" w:cs="Google Sans Text" w:eastAsia="Google Sans Text" w:hAnsi="Google Sans Text"/>
          <w:rtl w:val="0"/>
        </w:rPr>
        <w:t xml:space="preserve"> User-adjustable sliders for the sale price of Grade A and Grade B citrus (e.g., -50% to +50% of the baseline price).</w:t>
      </w:r>
    </w:p>
    <w:p w:rsidR="00000000" w:rsidDel="00000000" w:rsidP="00000000" w:rsidRDefault="00000000" w:rsidRPr="00000000" w14:paraId="000001DF">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Example:</w:t>
      </w:r>
      <w:r w:rsidDel="00000000" w:rsidR="00000000" w:rsidRPr="00000000">
        <w:rPr>
          <w:rFonts w:ascii="Google Sans Text" w:cs="Google Sans Text" w:eastAsia="Google Sans Text" w:hAnsi="Google Sans Text"/>
          <w:rtl w:val="0"/>
        </w:rPr>
        <w:t xml:space="preserve"> A farmer could simulate the financial impact of a 20% drop in market prices due to an import-driven oversupply. The dashboard would recalculate the projected total revenue and profitability margin, showing how resilient the operation is to market shocks. Conversely, it could model the upside of a 30% price spike during a festival season like Chinese New Year.</w:t>
      </w:r>
    </w:p>
    <w:p w:rsidR="00000000" w:rsidDel="00000000" w:rsidP="00000000" w:rsidRDefault="00000000" w:rsidRPr="00000000" w14:paraId="000001E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Policy Intervention Simulation:</w:t>
      </w:r>
    </w:p>
    <w:p w:rsidR="00000000" w:rsidDel="00000000" w:rsidP="00000000" w:rsidRDefault="00000000" w:rsidRPr="00000000" w14:paraId="000001E1">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Input Variable:</w:t>
      </w:r>
      <w:r w:rsidDel="00000000" w:rsidR="00000000" w:rsidRPr="00000000">
        <w:rPr>
          <w:rFonts w:ascii="Google Sans Text" w:cs="Google Sans Text" w:eastAsia="Google Sans Text" w:hAnsi="Google Sans Text"/>
          <w:rtl w:val="0"/>
        </w:rPr>
        <w:t xml:space="preserve"> A field for a government subsidy (e.g., RM per hectare) for adopting certified regenerative practices.</w:t>
      </w:r>
    </w:p>
    <w:p w:rsidR="00000000" w:rsidDel="00000000" w:rsidP="00000000" w:rsidRDefault="00000000" w:rsidRPr="00000000" w14:paraId="000001E2">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Example:</w:t>
      </w:r>
      <w:r w:rsidDel="00000000" w:rsidR="00000000" w:rsidRPr="00000000">
        <w:rPr>
          <w:rFonts w:ascii="Google Sans Text" w:cs="Google Sans Text" w:eastAsia="Google Sans Text" w:hAnsi="Google Sans Text"/>
          <w:rtl w:val="0"/>
        </w:rPr>
        <w:t xml:space="preserve"> A farmer could input a hypothetical subsidy of RM 500 per year for Site A to see the direct impact on the farm's annual net profit. This helps in evaluating the financial attractiveness of participating in government sustainability programs.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Climate Event Simulation:</w:t>
      </w:r>
    </w:p>
    <w:p w:rsidR="00000000" w:rsidDel="00000000" w:rsidP="00000000" w:rsidRDefault="00000000" w:rsidRPr="00000000" w14:paraId="000001E4">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Input Variable:</w:t>
      </w:r>
      <w:r w:rsidDel="00000000" w:rsidR="00000000" w:rsidRPr="00000000">
        <w:rPr>
          <w:rFonts w:ascii="Google Sans Text" w:cs="Google Sans Text" w:eastAsia="Google Sans Text" w:hAnsi="Google Sans Text"/>
          <w:rtl w:val="0"/>
        </w:rPr>
        <w:t xml:space="preserve"> A user-defined percentage reduction in yield for a specified number of months.</w:t>
      </w:r>
    </w:p>
    <w:p w:rsidR="00000000" w:rsidDel="00000000" w:rsidP="00000000" w:rsidRDefault="00000000" w:rsidRPr="00000000" w14:paraId="000001E5">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Scenario Example:</w:t>
      </w:r>
      <w:r w:rsidDel="00000000" w:rsidR="00000000" w:rsidRPr="00000000">
        <w:rPr>
          <w:rFonts w:ascii="Google Sans Text" w:cs="Google Sans Text" w:eastAsia="Google Sans Text" w:hAnsi="Google Sans Text"/>
          <w:rtl w:val="0"/>
        </w:rPr>
        <w:t xml:space="preserve"> To model the impact of a severe monsoon season or drought, a farmer could simulate a 25% reduction in total harvest for two consecutive months.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model would project the immediate impact on revenue and cash flow, highlighting the importance of the cost savings achieved through regenerative practices in maintaining profitability during adverse events.</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E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Integrating ESG Dimensions for Sustainable Value Creation</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Finally, the dashboard should be designed to explicitly address the ESG (Environmental, Social, and Governance) dimensions of the farming operation, transforming it from a simple management tool into a strategic asset for value creation.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Environmental:</w:t>
      </w:r>
      <w:r w:rsidDel="00000000" w:rsidR="00000000" w:rsidRPr="00000000">
        <w:rPr>
          <w:rFonts w:ascii="Google Sans Text" w:cs="Google Sans Text" w:eastAsia="Google Sans Text" w:hAnsi="Google Sans Text"/>
          <w:rtl w:val="0"/>
        </w:rPr>
        <w:t xml:space="preserve"> The dashboard can be configured to automatically generate sustainability reports. By leveraging the quantified data on </w:t>
      </w:r>
      <w:r w:rsidDel="00000000" w:rsidR="00000000" w:rsidRPr="00000000">
        <w:rPr>
          <w:rFonts w:ascii="Google Sans Text" w:cs="Google Sans Text" w:eastAsia="Google Sans Text" w:hAnsi="Google Sans Text"/>
          <w:b w:val="1"/>
          <w:rtl w:val="0"/>
        </w:rPr>
        <w:t xml:space="preserve">eutrophication potential reduction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net carbon footprint</w:t>
      </w:r>
      <w:r w:rsidDel="00000000" w:rsidR="00000000" w:rsidRPr="00000000">
        <w:rPr>
          <w:rFonts w:ascii="Google Sans Text" w:cs="Google Sans Text" w:eastAsia="Google Sans Text" w:hAnsi="Google Sans Text"/>
          <w:rtl w:val="0"/>
        </w:rPr>
        <w:t xml:space="preserve">, it can provide the verifiable evidence required for green certifications, sustainable supply chain partnerships, or attracting ESG-focused investment.</w:t>
      </w:r>
    </w:p>
    <w:p w:rsidR="00000000" w:rsidDel="00000000" w:rsidP="00000000" w:rsidRDefault="00000000" w:rsidRPr="00000000" w14:paraId="000001EB">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Social:</w:t>
      </w:r>
      <w:r w:rsidDel="00000000" w:rsidR="00000000" w:rsidRPr="00000000">
        <w:rPr>
          <w:rFonts w:ascii="Google Sans Text" w:cs="Google Sans Text" w:eastAsia="Google Sans Text" w:hAnsi="Google Sans Text"/>
          <w:rtl w:val="0"/>
        </w:rPr>
        <w:t xml:space="preserve"> While the provided dataset is limited in social metrics, the dashboard architecture should be extensible. Modules for tracking labor hours, training programs, or worker safety incidents could be added. A key social benefit that can be immediately highlighted is the </w:t>
      </w:r>
      <w:r w:rsidDel="00000000" w:rsidR="00000000" w:rsidRPr="00000000">
        <w:rPr>
          <w:rFonts w:ascii="Google Sans Text" w:cs="Google Sans Text" w:eastAsia="Google Sans Text" w:hAnsi="Google Sans Text"/>
          <w:b w:val="1"/>
          <w:rtl w:val="0"/>
        </w:rPr>
        <w:t xml:space="preserve">reduction in worker exposure to potentially harmful agrochemicals</w:t>
      </w:r>
      <w:r w:rsidDel="00000000" w:rsidR="00000000" w:rsidRPr="00000000">
        <w:rPr>
          <w:rFonts w:ascii="Google Sans Text" w:cs="Google Sans Text" w:eastAsia="Google Sans Text" w:hAnsi="Google Sans Text"/>
          <w:rtl w:val="0"/>
        </w:rPr>
        <w:t xml:space="preserve">, a direct consequence of the reduced pesticide application schedule.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C">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Governance:</w:t>
      </w:r>
      <w:r w:rsidDel="00000000" w:rsidR="00000000" w:rsidRPr="00000000">
        <w:rPr>
          <w:rFonts w:ascii="Google Sans Text" w:cs="Google Sans Text" w:eastAsia="Google Sans Text" w:hAnsi="Google Sans Text"/>
          <w:rtl w:val="0"/>
        </w:rPr>
        <w:t xml:space="preserve"> The dashboard itself is a powerful tool of good governance. It promotes a management culture based on transparency, accountability, and data-driven decision-making. It provides the traceability and auditable data trail that modern food systems and financial institutions increasingly demand. By enabling farmers to precisely monitor, manage, and report on their performance, the dashboard facilitates a transition from farming based on tradition and intuition to a modern, resilient, and sustainable agricultural enterprise.</w:t>
      </w:r>
    </w:p>
    <w:p w:rsidR="00000000" w:rsidDel="00000000" w:rsidP="00000000" w:rsidRDefault="00000000" w:rsidRPr="00000000" w14:paraId="000001E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Plant Data Atoz Carbon Cycle Platform(4).xlsx</w:t>
      </w:r>
    </w:p>
    <w:p w:rsidR="00000000" w:rsidDel="00000000" w:rsidP="00000000" w:rsidRDefault="00000000" w:rsidRPr="00000000" w14:paraId="000001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Regenerative Agriculture - EARTHDAY.ORG, accessed on August 23, 2025, </w:t>
      </w:r>
      <w:hyperlink r:id="rId6">
        <w:r w:rsidDel="00000000" w:rsidR="00000000" w:rsidRPr="00000000">
          <w:rPr>
            <w:rFonts w:ascii="Google Sans" w:cs="Google Sans" w:eastAsia="Google Sans" w:hAnsi="Google Sans"/>
            <w:color w:val="0000ee"/>
            <w:sz w:val="24"/>
            <w:szCs w:val="24"/>
            <w:u w:val="single"/>
            <w:rtl w:val="0"/>
          </w:rPr>
          <w:t xml:space="preserve">https://www.earthday.org/campaign/regenerative-agriculture/</w:t>
        </w:r>
      </w:hyperlink>
      <w:r w:rsidDel="00000000" w:rsidR="00000000" w:rsidRPr="00000000">
        <w:rPr>
          <w:rtl w:val="0"/>
        </w:rPr>
      </w:r>
    </w:p>
    <w:p w:rsidR="00000000" w:rsidDel="00000000" w:rsidP="00000000" w:rsidRDefault="00000000" w:rsidRPr="00000000" w14:paraId="000001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Embedding Circularity in the Transition to Regenerative Agriculture | Projects | WWF, accessed on August 23, 2025, </w:t>
      </w:r>
      <w:hyperlink r:id="rId7">
        <w:r w:rsidDel="00000000" w:rsidR="00000000" w:rsidRPr="00000000">
          <w:rPr>
            <w:rFonts w:ascii="Google Sans" w:cs="Google Sans" w:eastAsia="Google Sans" w:hAnsi="Google Sans"/>
            <w:color w:val="0000ee"/>
            <w:sz w:val="24"/>
            <w:szCs w:val="24"/>
            <w:u w:val="single"/>
            <w:rtl w:val="0"/>
          </w:rPr>
          <w:t xml:space="preserve">https://www.worldwildlife.org/projects/embedding-circularity-in-the-transition-to-regenerative-agriculture</w:t>
        </w:r>
      </w:hyperlink>
      <w:r w:rsidDel="00000000" w:rsidR="00000000" w:rsidRPr="00000000">
        <w:rPr>
          <w:rtl w:val="0"/>
        </w:rPr>
      </w:r>
    </w:p>
    <w:p w:rsidR="00000000" w:rsidDel="00000000" w:rsidP="00000000" w:rsidRDefault="00000000" w:rsidRPr="00000000" w14:paraId="000001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Microalgae as Biofertilizers: A Sustainable Way to Improve Soil Fertility and Plant Growth, accessed on August 23, 2025, </w:t>
      </w:r>
      <w:hyperlink r:id="rId8">
        <w:r w:rsidDel="00000000" w:rsidR="00000000" w:rsidRPr="00000000">
          <w:rPr>
            <w:rFonts w:ascii="Google Sans" w:cs="Google Sans" w:eastAsia="Google Sans" w:hAnsi="Google Sans"/>
            <w:color w:val="0000ee"/>
            <w:sz w:val="24"/>
            <w:szCs w:val="24"/>
            <w:u w:val="single"/>
            <w:rtl w:val="0"/>
          </w:rPr>
          <w:t xml:space="preserve">https://www.mdpi.com/2071-1050/15/16/12413</w:t>
        </w:r>
      </w:hyperlink>
      <w:r w:rsidDel="00000000" w:rsidR="00000000" w:rsidRPr="00000000">
        <w:rPr>
          <w:rtl w:val="0"/>
        </w:rPr>
      </w:r>
    </w:p>
    <w:p w:rsidR="00000000" w:rsidDel="00000000" w:rsidP="00000000" w:rsidRDefault="00000000" w:rsidRPr="00000000" w14:paraId="000001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Potential of Microalgae–Bacteria Consortia to Restore Degraded Soils - MDPI, accessed on August 23, 2025, </w:t>
      </w:r>
      <w:hyperlink r:id="rId9">
        <w:r w:rsidDel="00000000" w:rsidR="00000000" w:rsidRPr="00000000">
          <w:rPr>
            <w:rFonts w:ascii="Google Sans" w:cs="Google Sans" w:eastAsia="Google Sans" w:hAnsi="Google Sans"/>
            <w:color w:val="0000ee"/>
            <w:sz w:val="24"/>
            <w:szCs w:val="24"/>
            <w:u w:val="single"/>
            <w:rtl w:val="0"/>
          </w:rPr>
          <w:t xml:space="preserve">https://www.mdpi.com/2079-7737/12/5/693</w:t>
        </w:r>
      </w:hyperlink>
      <w:r w:rsidDel="00000000" w:rsidR="00000000" w:rsidRPr="00000000">
        <w:rPr>
          <w:rtl w:val="0"/>
        </w:rPr>
      </w:r>
    </w:p>
    <w:p w:rsidR="00000000" w:rsidDel="00000000" w:rsidP="00000000" w:rsidRDefault="00000000" w:rsidRPr="00000000" w14:paraId="000001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Microalgae-Based Biotechnology as Alternative Biofertilizers for Soil Enhancement and Carbon Footprint Reduction: Advantages and Implications - PMC, accessed on August 23,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https://pmc.ncbi.nlm.nih.gov/articles/PMC9958754/</w:t>
        </w:r>
      </w:hyperlink>
      <w:r w:rsidDel="00000000" w:rsidR="00000000" w:rsidRPr="00000000">
        <w:rPr>
          <w:rtl w:val="0"/>
        </w:rPr>
      </w:r>
    </w:p>
    <w:p w:rsidR="00000000" w:rsidDel="00000000" w:rsidP="00000000" w:rsidRDefault="00000000" w:rsidRPr="00000000" w14:paraId="000001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Investigation of the Effects of Food Standards on Pesticide Use, accessed on August 23, 2025, </w:t>
      </w:r>
      <w:hyperlink r:id="rId11">
        <w:r w:rsidDel="00000000" w:rsidR="00000000" w:rsidRPr="00000000">
          <w:rPr>
            <w:rFonts w:ascii="Google Sans" w:cs="Google Sans" w:eastAsia="Google Sans" w:hAnsi="Google Sans"/>
            <w:color w:val="0000ee"/>
            <w:sz w:val="24"/>
            <w:szCs w:val="24"/>
            <w:u w:val="single"/>
            <w:rtl w:val="0"/>
          </w:rPr>
          <w:t xml:space="preserve">https://nepis.epa.gov/Exe/ZyPURL.cgi?Dockey=9100BACQ.TXT</w:t>
        </w:r>
      </w:hyperlink>
      <w:r w:rsidDel="00000000" w:rsidR="00000000" w:rsidRPr="00000000">
        <w:rPr>
          <w:rtl w:val="0"/>
        </w:rPr>
      </w:r>
    </w:p>
    <w:p w:rsidR="00000000" w:rsidDel="00000000" w:rsidP="00000000" w:rsidRDefault="00000000" w:rsidRPr="00000000" w14:paraId="000001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Microalgae as next generation plant growth additives: Functions, applications, challenges and circular bioeconomy based solutions - PubMed Central, accessed on August 23, 2025,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https://pmc.ncbi.nlm.nih.gov/articles/PMC10101342/</w:t>
        </w:r>
      </w:hyperlink>
      <w:r w:rsidDel="00000000" w:rsidR="00000000" w:rsidRPr="00000000">
        <w:rPr>
          <w:rtl w:val="0"/>
        </w:rPr>
      </w:r>
    </w:p>
    <w:p w:rsidR="00000000" w:rsidDel="00000000" w:rsidP="00000000" w:rsidRDefault="00000000" w:rsidRPr="00000000" w14:paraId="000001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regenerative agriculture? - Syngenta Group, accessed on August 23, 2025, </w:t>
      </w:r>
      <w:hyperlink r:id="rId13">
        <w:r w:rsidDel="00000000" w:rsidR="00000000" w:rsidRPr="00000000">
          <w:rPr>
            <w:rFonts w:ascii="Google Sans" w:cs="Google Sans" w:eastAsia="Google Sans" w:hAnsi="Google Sans"/>
            <w:color w:val="0000ee"/>
            <w:sz w:val="24"/>
            <w:szCs w:val="24"/>
            <w:u w:val="single"/>
            <w:rtl w:val="0"/>
          </w:rPr>
          <w:t xml:space="preserve">https://www.syngentagroup.com/regenerative-agriculture</w:t>
        </w:r>
      </w:hyperlink>
      <w:r w:rsidDel="00000000" w:rsidR="00000000" w:rsidRPr="00000000">
        <w:rPr>
          <w:rtl w:val="0"/>
        </w:rPr>
      </w:r>
    </w:p>
    <w:p w:rsidR="00000000" w:rsidDel="00000000" w:rsidP="00000000" w:rsidRDefault="00000000" w:rsidRPr="00000000" w14:paraId="000001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Regenerative Farming: Soil Secrets &amp; Citrus Leaf Tips - Farmonaut, accessed on August 23, 2025, </w:t>
      </w:r>
      <w:hyperlink r:id="rId14">
        <w:r w:rsidDel="00000000" w:rsidR="00000000" w:rsidRPr="00000000">
          <w:rPr>
            <w:rFonts w:ascii="Google Sans" w:cs="Google Sans" w:eastAsia="Google Sans" w:hAnsi="Google Sans"/>
            <w:color w:val="0000ee"/>
            <w:sz w:val="24"/>
            <w:szCs w:val="24"/>
            <w:u w:val="single"/>
            <w:rtl w:val="0"/>
          </w:rPr>
          <w:t xml:space="preserve">https://farmonaut.com/blogs/regenerative-farming-methods-7-shocking-soil-secrets</w:t>
        </w:r>
      </w:hyperlink>
      <w:r w:rsidDel="00000000" w:rsidR="00000000" w:rsidRPr="00000000">
        <w:rPr>
          <w:rtl w:val="0"/>
        </w:rPr>
      </w:r>
    </w:p>
    <w:p w:rsidR="00000000" w:rsidDel="00000000" w:rsidP="00000000" w:rsidRDefault="00000000" w:rsidRPr="00000000" w14:paraId="000001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Effect of Foliar Application with Algae Extracts on Fruit Quality of Sour Orange, Citrus aurantium, L - ResearchGate, accessed on August 23,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https://www.researchgate.net/publication/327848020_Effect_of_Foliar_Application_with_Algae_Extracts_on_Fruit_Quality_of_Sour_Orange_Citrus_aurantium_L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nepis.epa.gov/Exe/ZyPURL.cgi?Dockey=9100BACQ.TXT" TargetMode="External"/><Relationship Id="rId10" Type="http://schemas.openxmlformats.org/officeDocument/2006/relationships/hyperlink" Target="https://pmc.ncbi.nlm.nih.gov/articles/PMC9958754/" TargetMode="External"/><Relationship Id="rId13" Type="http://schemas.openxmlformats.org/officeDocument/2006/relationships/hyperlink" Target="https://www.syngentagroup.com/regenerative-agriculture" TargetMode="External"/><Relationship Id="rId12" Type="http://schemas.openxmlformats.org/officeDocument/2006/relationships/hyperlink" Target="https://pmc.ncbi.nlm.nih.gov/articles/PMC1010134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079-7737/12/5/693" TargetMode="External"/><Relationship Id="rId15" Type="http://schemas.openxmlformats.org/officeDocument/2006/relationships/hyperlink" Target="https://www.researchgate.net/publication/327848020_Effect_of_Foliar_Application_with_Algae_Extracts_on_Fruit_Quality_of_Sour_Orange_Citrus_aurantium_L" TargetMode="External"/><Relationship Id="rId14" Type="http://schemas.openxmlformats.org/officeDocument/2006/relationships/hyperlink" Target="https://farmonaut.com/blogs/regenerative-farming-methods-7-shocking-soil-secrets" TargetMode="External"/><Relationship Id="rId5" Type="http://schemas.openxmlformats.org/officeDocument/2006/relationships/styles" Target="styles.xml"/><Relationship Id="rId6" Type="http://schemas.openxmlformats.org/officeDocument/2006/relationships/hyperlink" Target="https://www.earthday.org/campaign/regenerative-agriculture/" TargetMode="External"/><Relationship Id="rId7" Type="http://schemas.openxmlformats.org/officeDocument/2006/relationships/hyperlink" Target="https://www.worldwildlife.org/projects/embedding-circularity-in-the-transition-to-regenerative-agriculture" TargetMode="External"/><Relationship Id="rId8" Type="http://schemas.openxmlformats.org/officeDocument/2006/relationships/hyperlink" Target="https://www.mdpi.com/2071-1050/15/16/124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